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05F58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3F39DC">
            <w:pPr>
              <w:pStyle w:val="ConsPlusDocList"/>
              <w:snapToGrid w:val="0"/>
            </w:pPr>
            <w:r>
              <w:t>28</w:t>
            </w:r>
            <w:r w:rsidR="00CB2C42">
              <w:t>.</w:t>
            </w:r>
            <w:r w:rsidR="00D04292">
              <w:t>0</w:t>
            </w:r>
            <w:r>
              <w:t>7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3F39DC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3F39DC">
            <w:pPr>
              <w:pStyle w:val="ConsPlusDocList"/>
              <w:snapToGrid w:val="0"/>
            </w:pPr>
            <w:r>
              <w:t>0</w:t>
            </w:r>
            <w:r w:rsidR="003F39DC">
              <w:t>7</w:t>
            </w:r>
            <w:r w:rsidR="00CB2C42">
              <w:t>.</w:t>
            </w:r>
            <w:r w:rsidR="003F39DC">
              <w:t>08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3F39DC">
            <w:pPr>
              <w:pStyle w:val="ConsPlusDocList"/>
              <w:snapToGrid w:val="0"/>
            </w:pPr>
            <w:r>
              <w:t>23</w:t>
            </w:r>
            <w:r w:rsidR="003F39DC"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3F39DC">
            <w:pPr>
              <w:pStyle w:val="ConsPlusDocList"/>
              <w:snapToGrid w:val="0"/>
            </w:pPr>
            <w:r>
              <w:t>19</w:t>
            </w:r>
            <w:r w:rsidR="00D04292">
              <w:t>8</w:t>
            </w:r>
            <w:r w:rsidR="003F39DC"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3F39DC">
            <w:pPr>
              <w:pStyle w:val="ConsPlusDocList"/>
              <w:snapToGrid w:val="0"/>
            </w:pPr>
            <w:r>
              <w:t>19</w:t>
            </w:r>
            <w:r w:rsidR="00D04292">
              <w:t>8</w:t>
            </w:r>
            <w:r w:rsidR="003F39DC"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219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2</w:t>
            </w:r>
            <w:r w:rsidR="00D04292">
              <w:t>17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lastRenderedPageBreak/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11321,7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10313,0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1068,5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12619,0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D04292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F6399"/>
    <w:rsid w:val="003F39DC"/>
    <w:rsid w:val="004A15A5"/>
    <w:rsid w:val="00506CD4"/>
    <w:rsid w:val="005E57B8"/>
    <w:rsid w:val="00741A8A"/>
    <w:rsid w:val="00785E18"/>
    <w:rsid w:val="007F6D66"/>
    <w:rsid w:val="009D76EB"/>
    <w:rsid w:val="00A001E5"/>
    <w:rsid w:val="00AD2E4D"/>
    <w:rsid w:val="00B51F0A"/>
    <w:rsid w:val="00B91369"/>
    <w:rsid w:val="00CB2C42"/>
    <w:rsid w:val="00D04292"/>
    <w:rsid w:val="00DD45AC"/>
    <w:rsid w:val="00ED47AF"/>
    <w:rsid w:val="00F05F58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2015-12-02T17:11:00Z</dcterms:created>
  <dcterms:modified xsi:type="dcterms:W3CDTF">2016-03-22T08:30:00Z</dcterms:modified>
</cp:coreProperties>
</file>